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775" w:rsidRPr="00770775" w:rsidRDefault="00770775" w:rsidP="00770775">
      <w:pPr>
        <w:widowControl/>
        <w:pBdr>
          <w:bottom w:val="single" w:sz="6" w:space="8" w:color="CCCCCC"/>
        </w:pBdr>
        <w:spacing w:before="240" w:after="150"/>
        <w:jc w:val="center"/>
        <w:textAlignment w:val="top"/>
        <w:outlineLvl w:val="1"/>
        <w:rPr>
          <w:rFonts w:ascii="Arial" w:eastAsia="宋体" w:hAnsi="Arial" w:cs="Arial"/>
          <w:b/>
          <w:bCs/>
          <w:color w:val="336699"/>
          <w:kern w:val="36"/>
          <w:sz w:val="32"/>
          <w:szCs w:val="32"/>
        </w:rPr>
      </w:pPr>
      <w:r w:rsidRPr="00770775">
        <w:rPr>
          <w:rFonts w:ascii="Arial" w:eastAsia="宋体" w:hAnsi="Arial" w:cs="Arial"/>
          <w:b/>
          <w:bCs/>
          <w:color w:val="336699"/>
          <w:kern w:val="36"/>
          <w:sz w:val="32"/>
          <w:szCs w:val="32"/>
        </w:rPr>
        <w:t>四川省教育厅人文社会科学研究基地四川基层公共文化服务研究中心</w:t>
      </w:r>
      <w:r w:rsidRPr="00770775">
        <w:rPr>
          <w:rFonts w:ascii="Arial" w:eastAsia="宋体" w:hAnsi="Arial" w:cs="Arial"/>
          <w:b/>
          <w:bCs/>
          <w:color w:val="336699"/>
          <w:kern w:val="36"/>
          <w:sz w:val="32"/>
          <w:szCs w:val="32"/>
        </w:rPr>
        <w:t>2016</w:t>
      </w:r>
      <w:r w:rsidRPr="00770775">
        <w:rPr>
          <w:rFonts w:ascii="Arial" w:eastAsia="宋体" w:hAnsi="Arial" w:cs="Arial"/>
          <w:b/>
          <w:bCs/>
          <w:color w:val="336699"/>
          <w:kern w:val="36"/>
          <w:sz w:val="32"/>
          <w:szCs w:val="32"/>
        </w:rPr>
        <w:t>年度科研项目申报公告</w:t>
      </w:r>
      <w:r w:rsidRPr="00770775">
        <w:rPr>
          <w:rFonts w:ascii="Arial" w:eastAsia="宋体" w:hAnsi="Arial" w:cs="Arial"/>
          <w:kern w:val="0"/>
          <w:sz w:val="18"/>
          <w:szCs w:val="18"/>
        </w:rPr>
        <w:t> </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《四川省教育厅人文社会科学（基层公共文化服务研究）科研项目2016年度课题指南》经</w:t>
      </w:r>
      <w:r w:rsidRPr="00770775">
        <w:rPr>
          <w:rFonts w:ascii="宋体" w:eastAsia="宋体" w:hAnsi="宋体" w:cs="Arial" w:hint="eastAsia"/>
          <w:kern w:val="0"/>
          <w:sz w:val="24"/>
          <w:szCs w:val="24"/>
        </w:rPr>
        <w:t>四川省教育厅科技处及四川</w:t>
      </w:r>
      <w:r w:rsidRPr="00770775">
        <w:rPr>
          <w:rFonts w:ascii="宋体" w:eastAsia="宋体" w:hAnsi="宋体" w:cs="Arial" w:hint="eastAsia"/>
          <w:color w:val="000000"/>
          <w:kern w:val="0"/>
          <w:sz w:val="24"/>
          <w:szCs w:val="24"/>
        </w:rPr>
        <w:t>基层公共文化服务</w:t>
      </w:r>
      <w:r w:rsidRPr="00770775">
        <w:rPr>
          <w:rFonts w:ascii="宋体" w:eastAsia="宋体" w:hAnsi="宋体" w:cs="Arial" w:hint="eastAsia"/>
          <w:kern w:val="0"/>
          <w:sz w:val="24"/>
          <w:szCs w:val="24"/>
        </w:rPr>
        <w:t>研究中心（以下简称"中心"）学术委员会同意，即日公开发布，并开始受理项目申报。现将项目申报</w:t>
      </w:r>
      <w:r w:rsidRPr="00770775">
        <w:rPr>
          <w:rFonts w:ascii="宋体" w:eastAsia="宋体" w:hAnsi="宋体" w:cs="Arial" w:hint="eastAsia"/>
          <w:color w:val="000000"/>
          <w:kern w:val="0"/>
          <w:sz w:val="24"/>
          <w:szCs w:val="24"/>
        </w:rPr>
        <w:t>工作的相关事宜公告如下</w:t>
      </w:r>
      <w:r w:rsidRPr="00770775">
        <w:rPr>
          <w:rFonts w:ascii="宋体" w:eastAsia="宋体" w:hAnsi="宋体" w:cs="Arial" w:hint="eastAsia"/>
          <w:kern w:val="0"/>
          <w:sz w:val="24"/>
          <w:szCs w:val="24"/>
        </w:rPr>
        <w:t>：</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一、立项指导思想</w:t>
      </w:r>
    </w:p>
    <w:p w:rsidR="00770775" w:rsidRPr="00770775" w:rsidRDefault="00770775" w:rsidP="00770775">
      <w:pPr>
        <w:widowControl/>
        <w:shd w:val="clear" w:color="auto" w:fill="FFFFFF"/>
        <w:autoSpaceDE w:val="0"/>
        <w:spacing w:before="240" w:after="240" w:line="360" w:lineRule="auto"/>
        <w:jc w:val="left"/>
        <w:textAlignment w:val="top"/>
        <w:outlineLvl w:val="0"/>
        <w:rPr>
          <w:rFonts w:ascii="Arial" w:eastAsia="宋体" w:hAnsi="Arial" w:cs="Arial"/>
          <w:b/>
          <w:bCs/>
          <w:kern w:val="36"/>
          <w:sz w:val="32"/>
          <w:szCs w:val="32"/>
        </w:rPr>
      </w:pPr>
      <w:r w:rsidRPr="00770775">
        <w:rPr>
          <w:rFonts w:ascii="宋体" w:eastAsia="宋体" w:hAnsi="宋体" w:cs="Arial" w:hint="eastAsia"/>
          <w:b/>
          <w:bCs/>
          <w:kern w:val="36"/>
          <w:sz w:val="24"/>
        </w:rPr>
        <w:t> </w:t>
      </w:r>
      <w:r w:rsidRPr="00770775">
        <w:rPr>
          <w:rFonts w:ascii="宋体" w:eastAsia="宋体" w:hAnsi="宋体" w:cs="Arial" w:hint="eastAsia"/>
          <w:b/>
          <w:bCs/>
          <w:kern w:val="36"/>
          <w:sz w:val="24"/>
          <w:szCs w:val="24"/>
        </w:rPr>
        <w:t xml:space="preserve">  根</w:t>
      </w:r>
      <w:r w:rsidRPr="00770775">
        <w:rPr>
          <w:rFonts w:ascii="宋体" w:eastAsia="宋体" w:hAnsi="宋体" w:cs="Arial" w:hint="eastAsia"/>
          <w:b/>
          <w:bCs/>
          <w:color w:val="000000"/>
          <w:kern w:val="36"/>
          <w:sz w:val="24"/>
          <w:szCs w:val="24"/>
        </w:rPr>
        <w:t>据党的十七届六中全会《关于深化文化体制改革、推动社会主义文化大发展大繁荣若干重大问题的决定》和党的十八届三中、四中全会精神，按照国务院颁布的《国家基本公共服务体系"十二五"规划》、《关于加快构建现代公共文化服务体系的意见》、《国家基本公共文化服务指导标准（2015—2020年）》，文化部等7部委联合印发的《"十三五"时期贫困地区公共文化服务体系建设规划纲要》，以及《中共四川省委关于深化文</w:t>
      </w:r>
      <w:r w:rsidRPr="00770775">
        <w:rPr>
          <w:rFonts w:ascii="宋体" w:eastAsia="宋体" w:hAnsi="宋体" w:cs="Arial" w:hint="eastAsia"/>
          <w:b/>
          <w:bCs/>
          <w:kern w:val="36"/>
          <w:sz w:val="24"/>
          <w:szCs w:val="24"/>
        </w:rPr>
        <w:t>化体制改革加快建设文化强省的决定》</w:t>
      </w:r>
      <w:r w:rsidRPr="00770775">
        <w:rPr>
          <w:rFonts w:ascii="宋体" w:eastAsia="宋体" w:hAnsi="宋体" w:cs="Arial" w:hint="eastAsia"/>
          <w:b/>
          <w:bCs/>
          <w:color w:val="000000"/>
          <w:kern w:val="36"/>
          <w:sz w:val="24"/>
          <w:szCs w:val="24"/>
        </w:rPr>
        <w:t>等要求，积极推动基层公共文化服</w:t>
      </w:r>
      <w:r w:rsidRPr="00770775">
        <w:rPr>
          <w:rFonts w:ascii="宋体" w:eastAsia="宋体" w:hAnsi="宋体" w:cs="Arial" w:hint="eastAsia"/>
          <w:b/>
          <w:bCs/>
          <w:kern w:val="36"/>
          <w:sz w:val="24"/>
          <w:szCs w:val="24"/>
        </w:rPr>
        <w:t>务体系研究的深入发展，基础研究与应用研究并重结合，勇于探索，实践创新，为我省"十三五"规划顺利实施及文化强省战略提供智力支持和</w:t>
      </w:r>
      <w:r w:rsidRPr="00770775">
        <w:rPr>
          <w:rFonts w:ascii="宋体" w:eastAsia="宋体" w:hAnsi="宋体" w:cs="Arial" w:hint="eastAsia"/>
          <w:b/>
          <w:bCs/>
          <w:color w:val="000000"/>
          <w:kern w:val="36"/>
          <w:sz w:val="24"/>
          <w:szCs w:val="24"/>
        </w:rPr>
        <w:t>有效服务。</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二、申报范围条件</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本年度项目设有重点项目、一般项目、青年项目、自筹项目。</w:t>
      </w:r>
      <w:r w:rsidRPr="00770775">
        <w:rPr>
          <w:rFonts w:ascii="宋体" w:eastAsia="宋体" w:hAnsi="宋体" w:cs="Arial" w:hint="eastAsia"/>
          <w:kern w:val="0"/>
          <w:sz w:val="24"/>
          <w:szCs w:val="24"/>
        </w:rPr>
        <w:t>面向省内外各高校、科研机构，及党政机关相关部门工作人员</w:t>
      </w:r>
      <w:r w:rsidRPr="00770775">
        <w:rPr>
          <w:rFonts w:ascii="宋体" w:eastAsia="宋体" w:hAnsi="宋体" w:cs="Arial" w:hint="eastAsia"/>
          <w:color w:val="000000"/>
          <w:kern w:val="0"/>
          <w:sz w:val="24"/>
          <w:szCs w:val="24"/>
        </w:rPr>
        <w:t>，并鼓励高校在读博士生、硕士生，及部分省内外有志于基层公共文化服务研究的文化教育部门人士申报课题。  </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申报条件：1、申报重点课题的负责人须具有高级职称、博士学位或主持完成过省厅级以上社科研究项目。2、申报一般课题的负责人须具有中级以上（含中级）职称或者具有硕士学位。3、申报青年项目的负责人应具有初级以上（含初级）职称或本科学位，年龄不超过40周岁（1976年1月1日以后出生）。4、申请自筹项目的负责人不受上述条件限制。"老少边穷"地区及合作单位研究工作</w:t>
      </w:r>
      <w:r w:rsidRPr="00770775">
        <w:rPr>
          <w:rFonts w:ascii="宋体" w:eastAsia="宋体" w:hAnsi="宋体" w:cs="Arial" w:hint="eastAsia"/>
          <w:color w:val="000000"/>
          <w:kern w:val="0"/>
          <w:sz w:val="24"/>
          <w:szCs w:val="24"/>
        </w:rPr>
        <w:lastRenderedPageBreak/>
        <w:t>者的特色研究可适当放宽职称或学历要求。申请人要依据《四川省教育厅人文社会科学重点研究基地项目管理办法》的相关规定和本公告的要求进行申报工作。申请资助经费要有合理的预算，应根据研究工作的实际需要并根据管理办法中的有关规定提出预算。</w:t>
      </w:r>
      <w:r w:rsidRPr="00770775">
        <w:rPr>
          <w:rFonts w:ascii="宋体" w:eastAsia="宋体" w:hAnsi="宋体" w:cs="Arial" w:hint="eastAsia"/>
          <w:kern w:val="0"/>
          <w:sz w:val="24"/>
          <w:szCs w:val="24"/>
        </w:rPr>
        <w:t>批准立项的自筹经费课题，与经费资助课题实施相同的管理。中心接受带项目与经费进入中心立项，并将适当给予经费补贴。中心鼓励以课题组的方式申报课题、鼓励在公共文化方面有实践经验的人员申报课题。</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三、申报结题要求</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按规定，凡有省教育厅及省教育厅人文社科重点研究基地科研项目尚未结题者不得申报。</w:t>
      </w:r>
      <w:r w:rsidRPr="00770775">
        <w:rPr>
          <w:rFonts w:ascii="宋体" w:eastAsia="宋体" w:hAnsi="宋体" w:cs="Arial" w:hint="eastAsia"/>
          <w:color w:val="000000"/>
          <w:kern w:val="0"/>
          <w:sz w:val="24"/>
          <w:szCs w:val="24"/>
        </w:rPr>
        <w:t>在立项评审会召开之前，任何单位和个人均不得以任何名义为申报事宜走访评审专家，一经发现，取消申报资格。望各高校及相关部门加强对项目申报工作的组织指导和审核，确保申报书的真实性和资格审查、内容、选题等的科学性、可行性及课题组完成研究任务的充分条件，并签署明确意见。</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b/>
          <w:bCs/>
          <w:kern w:val="0"/>
          <w:sz w:val="24"/>
          <w:szCs w:val="24"/>
        </w:rPr>
        <w:t>本中心课题的最终成果为专著、论文、研究报告等。重点项目成果为一部专著或2篇核心期刊，一般项目成果为1篇核心期刊或2篇省级刊物，若研究成果为研究报告的，应有县级及以上政府部门领导签署的肯定性批示。最终成果须明确标注"四川省教育厅人文社会科学重点研究基地——四川基层公共文化服务研究中心2016年重点（或一般或青年或自筹）项目"。课题研究成果归属本中心。成果形式为论文或者研究报告者完成时限为一至二年；成果形式为专著者，原则上应为公开出版物，完成时限为二至三年。尚未公开出版者，需提交书稿一式三份，由中心组织学术委员会三人以上鉴定通过方可结题。</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四、申报受理时间</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本中心2016年度申报受理时间从即日起至2016年5月6日止（以收到申报书和论证活页电子文档为准），</w:t>
      </w:r>
      <w:hyperlink r:id="rId6" w:history="1">
        <w:r w:rsidRPr="00770775">
          <w:rPr>
            <w:rFonts w:ascii="宋体" w:eastAsia="宋体" w:hAnsi="宋体" w:cs="Arial" w:hint="eastAsia"/>
            <w:color w:val="000000"/>
            <w:kern w:val="0"/>
            <w:sz w:val="24"/>
            <w:szCs w:val="24"/>
            <w:u w:val="single"/>
          </w:rPr>
          <w:t>申报书和论证活页电子文档请发送至本中心邮箱jcggwhfwyjzx@126.com</w:t>
        </w:r>
      </w:hyperlink>
      <w:r w:rsidRPr="00770775">
        <w:rPr>
          <w:rFonts w:ascii="宋体" w:eastAsia="宋体" w:hAnsi="宋体" w:cs="Arial" w:hint="eastAsia"/>
          <w:color w:val="000000"/>
          <w:kern w:val="0"/>
          <w:sz w:val="24"/>
          <w:szCs w:val="24"/>
        </w:rPr>
        <w:t>或jcggwhfwyjzx@sina.com，</w:t>
      </w:r>
      <w:r w:rsidRPr="00770775">
        <w:rPr>
          <w:rFonts w:ascii="宋体" w:eastAsia="宋体" w:hAnsi="宋体" w:cs="Arial" w:hint="eastAsia"/>
          <w:kern w:val="0"/>
          <w:sz w:val="24"/>
          <w:szCs w:val="24"/>
        </w:rPr>
        <w:t>逾期不再受理</w:t>
      </w:r>
      <w:r w:rsidRPr="00770775">
        <w:rPr>
          <w:rFonts w:ascii="宋体" w:eastAsia="宋体" w:hAnsi="宋体" w:cs="Arial" w:hint="eastAsia"/>
          <w:color w:val="000000"/>
          <w:kern w:val="0"/>
          <w:sz w:val="24"/>
          <w:szCs w:val="24"/>
        </w:rPr>
        <w:t>。申报者务必于截止日期前，用快递方式将审查合格的申报书一式5份（其中原件1份，A4纸左侧装订）、课题设计论证活页一式5份（A4纸，单独装订）、项目负责人详细联系方式</w:t>
      </w:r>
      <w:r w:rsidRPr="00770775">
        <w:rPr>
          <w:rFonts w:ascii="宋体" w:eastAsia="宋体" w:hAnsi="宋体" w:cs="Arial" w:hint="eastAsia"/>
          <w:kern w:val="0"/>
          <w:sz w:val="24"/>
          <w:szCs w:val="24"/>
        </w:rPr>
        <w:t>及单位账号、开户银行、户名等</w:t>
      </w:r>
      <w:r w:rsidRPr="00770775">
        <w:rPr>
          <w:rFonts w:ascii="宋体" w:eastAsia="宋体" w:hAnsi="宋体" w:cs="Arial" w:hint="eastAsia"/>
          <w:color w:val="000000"/>
          <w:kern w:val="0"/>
          <w:sz w:val="24"/>
          <w:szCs w:val="24"/>
        </w:rPr>
        <w:t>报送</w:t>
      </w:r>
      <w:r w:rsidRPr="00770775">
        <w:rPr>
          <w:rFonts w:ascii="宋体" w:eastAsia="宋体" w:hAnsi="宋体" w:cs="Arial" w:hint="eastAsia"/>
          <w:kern w:val="0"/>
          <w:sz w:val="24"/>
          <w:szCs w:val="24"/>
        </w:rPr>
        <w:t>四川省教育厅人文社会科学重点研究基地——四川基层公共文化服务研究中心</w:t>
      </w:r>
      <w:r w:rsidRPr="00770775">
        <w:rPr>
          <w:rFonts w:ascii="宋体" w:eastAsia="宋体" w:hAnsi="宋体" w:cs="Arial" w:hint="eastAsia"/>
          <w:color w:val="000000"/>
          <w:kern w:val="0"/>
          <w:sz w:val="24"/>
          <w:szCs w:val="24"/>
        </w:rPr>
        <w:t>。课题指南、申报书及论证活页可登陆</w:t>
      </w:r>
      <w:r w:rsidRPr="00770775">
        <w:rPr>
          <w:rFonts w:ascii="宋体" w:eastAsia="宋体" w:hAnsi="宋体" w:cs="Arial" w:hint="eastAsia"/>
          <w:kern w:val="0"/>
          <w:sz w:val="24"/>
          <w:szCs w:val="24"/>
        </w:rPr>
        <w:t>四川基层公共文化服务研究</w:t>
      </w:r>
      <w:r w:rsidRPr="00770775">
        <w:rPr>
          <w:rFonts w:ascii="宋体" w:eastAsia="宋体" w:hAnsi="宋体" w:cs="Arial" w:hint="eastAsia"/>
          <w:color w:val="000000"/>
          <w:kern w:val="0"/>
          <w:sz w:val="24"/>
          <w:szCs w:val="24"/>
        </w:rPr>
        <w:t>中心网址http://jcggwh.lsnu.edu.cn下载。</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中心联系方式：</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通讯地址：</w:t>
      </w:r>
      <w:r w:rsidRPr="00770775">
        <w:rPr>
          <w:rFonts w:ascii="宋体" w:eastAsia="宋体" w:hAnsi="宋体" w:cs="Arial" w:hint="eastAsia"/>
          <w:kern w:val="0"/>
          <w:sz w:val="24"/>
          <w:szCs w:val="24"/>
        </w:rPr>
        <w:t>乐山市中区滨河路778号乐山师范学院四川基层公共文化服务研究中心</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邮编：614004</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联系电话：0833—2277396</w:t>
      </w:r>
    </w:p>
    <w:p w:rsidR="00770775" w:rsidRPr="00770775" w:rsidRDefault="00770775" w:rsidP="00770775">
      <w:pPr>
        <w:widowControl/>
        <w:shd w:val="clear" w:color="auto" w:fill="FFFFFF"/>
        <w:spacing w:before="100" w:beforeAutospacing="1" w:after="240" w:line="420" w:lineRule="atLeast"/>
        <w:ind w:firstLine="480"/>
        <w:jc w:val="left"/>
        <w:textAlignment w:val="top"/>
        <w:rPr>
          <w:rFonts w:ascii="Arial" w:eastAsia="宋体" w:hAnsi="Arial" w:cs="Arial"/>
          <w:kern w:val="0"/>
          <w:sz w:val="18"/>
          <w:szCs w:val="18"/>
        </w:rPr>
      </w:pPr>
      <w:r w:rsidRPr="00770775">
        <w:rPr>
          <w:rFonts w:ascii="宋体" w:eastAsia="宋体" w:hAnsi="宋体" w:cs="Arial" w:hint="eastAsia"/>
          <w:kern w:val="0"/>
          <w:sz w:val="24"/>
          <w:szCs w:val="24"/>
        </w:rPr>
        <w:t>联系人： 刘瑶瑶15196420439    杨田华 18081009409</w:t>
      </w:r>
    </w:p>
    <w:p w:rsidR="00770775" w:rsidRPr="00770775" w:rsidRDefault="00770775" w:rsidP="00770775">
      <w:pPr>
        <w:widowControl/>
        <w:shd w:val="clear" w:color="auto" w:fill="FFFFFF"/>
        <w:spacing w:before="100" w:beforeAutospacing="1" w:after="240" w:line="420" w:lineRule="atLeast"/>
        <w:ind w:firstLine="480"/>
        <w:jc w:val="right"/>
        <w:textAlignment w:val="top"/>
        <w:rPr>
          <w:rFonts w:ascii="Arial" w:eastAsia="宋体" w:hAnsi="Arial" w:cs="Arial"/>
          <w:kern w:val="0"/>
          <w:sz w:val="18"/>
          <w:szCs w:val="18"/>
        </w:rPr>
      </w:pPr>
      <w:r w:rsidRPr="00770775">
        <w:rPr>
          <w:rFonts w:ascii="宋体" w:eastAsia="宋体" w:hAnsi="宋体" w:cs="Arial" w:hint="eastAsia"/>
          <w:kern w:val="0"/>
          <w:sz w:val="24"/>
          <w:szCs w:val="24"/>
        </w:rPr>
        <w:t>四川省教育厅人文社科重点研究基地</w:t>
      </w:r>
    </w:p>
    <w:p w:rsidR="00770775" w:rsidRPr="00770775" w:rsidRDefault="00770775" w:rsidP="00770775">
      <w:pPr>
        <w:widowControl/>
        <w:shd w:val="clear" w:color="auto" w:fill="FFFFFF"/>
        <w:spacing w:before="100" w:beforeAutospacing="1" w:after="240" w:line="420" w:lineRule="atLeast"/>
        <w:ind w:firstLine="480"/>
        <w:jc w:val="righ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——四川基层公共文化服务研究中心</w:t>
      </w:r>
    </w:p>
    <w:p w:rsidR="00770775" w:rsidRPr="00770775" w:rsidRDefault="00770775" w:rsidP="00770775">
      <w:pPr>
        <w:widowControl/>
        <w:shd w:val="clear" w:color="auto" w:fill="FFFFFF"/>
        <w:spacing w:before="100" w:beforeAutospacing="1" w:after="240" w:line="420" w:lineRule="atLeast"/>
        <w:ind w:firstLine="480"/>
        <w:jc w:val="right"/>
        <w:textAlignment w:val="top"/>
        <w:rPr>
          <w:rFonts w:ascii="Arial" w:eastAsia="宋体" w:hAnsi="Arial" w:cs="Arial"/>
          <w:kern w:val="0"/>
          <w:sz w:val="18"/>
          <w:szCs w:val="18"/>
        </w:rPr>
      </w:pPr>
      <w:r w:rsidRPr="00770775">
        <w:rPr>
          <w:rFonts w:ascii="宋体" w:eastAsia="宋体" w:hAnsi="宋体" w:cs="Arial" w:hint="eastAsia"/>
          <w:color w:val="000000"/>
          <w:kern w:val="0"/>
          <w:sz w:val="24"/>
          <w:szCs w:val="24"/>
        </w:rPr>
        <w:t>2016年1月10日</w:t>
      </w:r>
    </w:p>
    <w:p w:rsidR="0088705F" w:rsidRDefault="0088705F"/>
    <w:sectPr w:rsidR="008870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05F" w:rsidRDefault="0088705F" w:rsidP="00770775">
      <w:r>
        <w:separator/>
      </w:r>
    </w:p>
  </w:endnote>
  <w:endnote w:type="continuationSeparator" w:id="1">
    <w:p w:rsidR="0088705F" w:rsidRDefault="0088705F" w:rsidP="007707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05F" w:rsidRDefault="0088705F" w:rsidP="00770775">
      <w:r>
        <w:separator/>
      </w:r>
    </w:p>
  </w:footnote>
  <w:footnote w:type="continuationSeparator" w:id="1">
    <w:p w:rsidR="0088705F" w:rsidRDefault="0088705F" w:rsidP="007707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0775"/>
    <w:rsid w:val="00770775"/>
    <w:rsid w:val="00887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70775"/>
    <w:pPr>
      <w:widowControl/>
      <w:spacing w:before="240" w:after="240"/>
      <w:jc w:val="left"/>
      <w:outlineLvl w:val="0"/>
    </w:pPr>
    <w:rPr>
      <w:rFonts w:ascii="宋体" w:eastAsia="宋体" w:hAnsi="宋体" w:cs="宋体"/>
      <w:b/>
      <w:bCs/>
      <w:kern w:val="36"/>
      <w:sz w:val="43"/>
      <w:szCs w:val="4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07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0775"/>
    <w:rPr>
      <w:sz w:val="18"/>
      <w:szCs w:val="18"/>
    </w:rPr>
  </w:style>
  <w:style w:type="paragraph" w:styleId="a4">
    <w:name w:val="footer"/>
    <w:basedOn w:val="a"/>
    <w:link w:val="Char0"/>
    <w:uiPriority w:val="99"/>
    <w:semiHidden/>
    <w:unhideWhenUsed/>
    <w:rsid w:val="007707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0775"/>
    <w:rPr>
      <w:sz w:val="18"/>
      <w:szCs w:val="18"/>
    </w:rPr>
  </w:style>
  <w:style w:type="character" w:customStyle="1" w:styleId="1Char">
    <w:name w:val="标题 1 Char"/>
    <w:basedOn w:val="a0"/>
    <w:link w:val="1"/>
    <w:uiPriority w:val="9"/>
    <w:rsid w:val="00770775"/>
    <w:rPr>
      <w:rFonts w:ascii="宋体" w:eastAsia="宋体" w:hAnsi="宋体" w:cs="宋体"/>
      <w:b/>
      <w:bCs/>
      <w:kern w:val="36"/>
      <w:sz w:val="43"/>
      <w:szCs w:val="43"/>
    </w:rPr>
  </w:style>
  <w:style w:type="character" w:styleId="a5">
    <w:name w:val="Hyperlink"/>
    <w:basedOn w:val="a0"/>
    <w:uiPriority w:val="99"/>
    <w:semiHidden/>
    <w:unhideWhenUsed/>
    <w:rsid w:val="00770775"/>
    <w:rPr>
      <w:color w:val="5B677D"/>
      <w:u w:val="single"/>
    </w:rPr>
  </w:style>
  <w:style w:type="character" w:styleId="a6">
    <w:name w:val="Strong"/>
    <w:basedOn w:val="a0"/>
    <w:uiPriority w:val="22"/>
    <w:qFormat/>
    <w:rsid w:val="00770775"/>
    <w:rPr>
      <w:b/>
      <w:bCs/>
      <w:i w:val="0"/>
      <w:iCs w:val="0"/>
    </w:rPr>
  </w:style>
  <w:style w:type="paragraph" w:styleId="a7">
    <w:name w:val="Normal (Web)"/>
    <w:basedOn w:val="a"/>
    <w:uiPriority w:val="99"/>
    <w:semiHidden/>
    <w:unhideWhenUsed/>
    <w:rsid w:val="00770775"/>
    <w:pPr>
      <w:widowControl/>
      <w:spacing w:before="100" w:beforeAutospacing="1" w:after="24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59198405">
      <w:bodyDiv w:val="1"/>
      <w:marLeft w:val="0"/>
      <w:marRight w:val="0"/>
      <w:marTop w:val="0"/>
      <w:marBottom w:val="0"/>
      <w:divBdr>
        <w:top w:val="none" w:sz="0" w:space="0" w:color="auto"/>
        <w:left w:val="none" w:sz="0" w:space="0" w:color="auto"/>
        <w:bottom w:val="none" w:sz="0" w:space="0" w:color="auto"/>
        <w:right w:val="none" w:sz="0" w:space="0" w:color="auto"/>
      </w:divBdr>
      <w:divsChild>
        <w:div w:id="354580130">
          <w:marLeft w:val="0"/>
          <w:marRight w:val="0"/>
          <w:marTop w:val="0"/>
          <w:marBottom w:val="0"/>
          <w:divBdr>
            <w:top w:val="none" w:sz="0" w:space="0" w:color="auto"/>
            <w:left w:val="none" w:sz="0" w:space="0" w:color="auto"/>
            <w:bottom w:val="none" w:sz="0" w:space="0" w:color="auto"/>
            <w:right w:val="none" w:sz="0" w:space="0" w:color="auto"/>
          </w:divBdr>
          <w:divsChild>
            <w:div w:id="1679043344">
              <w:marLeft w:val="0"/>
              <w:marRight w:val="0"/>
              <w:marTop w:val="0"/>
              <w:marBottom w:val="0"/>
              <w:divBdr>
                <w:top w:val="none" w:sz="0" w:space="0" w:color="auto"/>
                <w:left w:val="none" w:sz="0" w:space="0" w:color="auto"/>
                <w:bottom w:val="none" w:sz="0" w:space="0" w:color="auto"/>
                <w:right w:val="none" w:sz="0" w:space="0" w:color="auto"/>
              </w:divBdr>
              <w:divsChild>
                <w:div w:id="670835483">
                  <w:marLeft w:val="0"/>
                  <w:marRight w:val="0"/>
                  <w:marTop w:val="0"/>
                  <w:marBottom w:val="0"/>
                  <w:divBdr>
                    <w:top w:val="none" w:sz="0" w:space="0" w:color="auto"/>
                    <w:left w:val="none" w:sz="0" w:space="0" w:color="auto"/>
                    <w:bottom w:val="none" w:sz="0" w:space="0" w:color="auto"/>
                    <w:right w:val="none" w:sz="0" w:space="0" w:color="auto"/>
                  </w:divBdr>
                  <w:divsChild>
                    <w:div w:id="232934386">
                      <w:marLeft w:val="0"/>
                      <w:marRight w:val="0"/>
                      <w:marTop w:val="0"/>
                      <w:marBottom w:val="0"/>
                      <w:divBdr>
                        <w:top w:val="none" w:sz="0" w:space="0" w:color="auto"/>
                        <w:left w:val="none" w:sz="0" w:space="0" w:color="auto"/>
                        <w:bottom w:val="none" w:sz="0" w:space="0" w:color="auto"/>
                        <w:right w:val="none" w:sz="0" w:space="0" w:color="auto"/>
                      </w:divBdr>
                      <w:divsChild>
                        <w:div w:id="833762882">
                          <w:marLeft w:val="0"/>
                          <w:marRight w:val="0"/>
                          <w:marTop w:val="0"/>
                          <w:marBottom w:val="0"/>
                          <w:divBdr>
                            <w:top w:val="none" w:sz="0" w:space="0" w:color="auto"/>
                            <w:left w:val="none" w:sz="0" w:space="0" w:color="auto"/>
                            <w:bottom w:val="none" w:sz="0" w:space="0" w:color="auto"/>
                            <w:right w:val="none" w:sz="0" w:space="0" w:color="auto"/>
                          </w:divBdr>
                          <w:divsChild>
                            <w:div w:id="1634827531">
                              <w:marLeft w:val="0"/>
                              <w:marRight w:val="0"/>
                              <w:marTop w:val="0"/>
                              <w:marBottom w:val="0"/>
                              <w:divBdr>
                                <w:top w:val="none" w:sz="0" w:space="0" w:color="auto"/>
                                <w:left w:val="none" w:sz="0" w:space="0" w:color="auto"/>
                                <w:bottom w:val="none" w:sz="0" w:space="0" w:color="auto"/>
                                <w:right w:val="none" w:sz="0" w:space="0" w:color="auto"/>
                              </w:divBdr>
                              <w:divsChild>
                                <w:div w:id="1852596697">
                                  <w:marLeft w:val="0"/>
                                  <w:marRight w:val="0"/>
                                  <w:marTop w:val="0"/>
                                  <w:marBottom w:val="0"/>
                                  <w:divBdr>
                                    <w:top w:val="none" w:sz="0" w:space="0" w:color="auto"/>
                                    <w:left w:val="none" w:sz="0" w:space="0" w:color="auto"/>
                                    <w:bottom w:val="none" w:sz="0" w:space="0" w:color="auto"/>
                                    <w:right w:val="none" w:sz="0" w:space="0" w:color="auto"/>
                                  </w:divBdr>
                                  <w:divsChild>
                                    <w:div w:id="1399480446">
                                      <w:marLeft w:val="0"/>
                                      <w:marRight w:val="0"/>
                                      <w:marTop w:val="0"/>
                                      <w:marBottom w:val="0"/>
                                      <w:divBdr>
                                        <w:top w:val="none" w:sz="0" w:space="0" w:color="auto"/>
                                        <w:left w:val="none" w:sz="0" w:space="0" w:color="auto"/>
                                        <w:bottom w:val="none" w:sz="0" w:space="0" w:color="auto"/>
                                        <w:right w:val="none" w:sz="0" w:space="0" w:color="auto"/>
                                      </w:divBdr>
                                      <w:divsChild>
                                        <w:div w:id="1884780151">
                                          <w:marLeft w:val="0"/>
                                          <w:marRight w:val="0"/>
                                          <w:marTop w:val="0"/>
                                          <w:marBottom w:val="0"/>
                                          <w:divBdr>
                                            <w:top w:val="none" w:sz="0" w:space="0" w:color="auto"/>
                                            <w:left w:val="none" w:sz="0" w:space="0" w:color="auto"/>
                                            <w:bottom w:val="none" w:sz="0" w:space="0" w:color="auto"/>
                                            <w:right w:val="none" w:sz="0" w:space="0" w:color="auto"/>
                                          </w:divBdr>
                                          <w:divsChild>
                                            <w:div w:id="60490001">
                                              <w:marLeft w:val="0"/>
                                              <w:marRight w:val="0"/>
                                              <w:marTop w:val="0"/>
                                              <w:marBottom w:val="0"/>
                                              <w:divBdr>
                                                <w:top w:val="none" w:sz="0" w:space="0" w:color="auto"/>
                                                <w:left w:val="none" w:sz="0" w:space="0" w:color="auto"/>
                                                <w:bottom w:val="none" w:sz="0" w:space="0" w:color="auto"/>
                                                <w:right w:val="none" w:sz="0" w:space="0" w:color="auto"/>
                                              </w:divBdr>
                                              <w:divsChild>
                                                <w:div w:id="495732017">
                                                  <w:marLeft w:val="0"/>
                                                  <w:marRight w:val="0"/>
                                                  <w:marTop w:val="0"/>
                                                  <w:marBottom w:val="0"/>
                                                  <w:divBdr>
                                                    <w:top w:val="none" w:sz="0" w:space="0" w:color="auto"/>
                                                    <w:left w:val="none" w:sz="0" w:space="0" w:color="auto"/>
                                                    <w:bottom w:val="none" w:sz="0" w:space="0" w:color="auto"/>
                                                    <w:right w:val="none" w:sz="0" w:space="0" w:color="auto"/>
                                                  </w:divBdr>
                                                  <w:divsChild>
                                                    <w:div w:id="130947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3;&#25253;&#20070;&#21644;&#35770;&#35777;&#27963;&#39029;&#30005;&#23376;&#25991;&#26723;&#35831;&#21457;&#36865;&#33267;&#26412;&#20013;&#24515;&#37038;&#31665;jcggwhfwyjzx@126.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张海霞（公文收发员）</dc:creator>
  <cp:keywords/>
  <dc:description/>
  <cp:lastModifiedBy>张海霞（公文收发员）</cp:lastModifiedBy>
  <cp:revision>2</cp:revision>
  <dcterms:created xsi:type="dcterms:W3CDTF">2016-04-05T07:11:00Z</dcterms:created>
  <dcterms:modified xsi:type="dcterms:W3CDTF">2016-04-05T07:11:00Z</dcterms:modified>
</cp:coreProperties>
</file>